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209C" w14:textId="5C7F4625" w:rsidR="00F037C6" w:rsidRDefault="00521373">
      <w:pPr>
        <w:autoSpaceDE w:val="0"/>
        <w:autoSpaceDN w:val="0"/>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60288" behindDoc="0" locked="0" layoutInCell="1" allowOverlap="1" wp14:anchorId="19B2D635" wp14:editId="1191FEA0">
                <wp:simplePos x="0" y="0"/>
                <wp:positionH relativeFrom="column">
                  <wp:posOffset>4756150</wp:posOffset>
                </wp:positionH>
                <wp:positionV relativeFrom="paragraph">
                  <wp:posOffset>-557530</wp:posOffset>
                </wp:positionV>
                <wp:extent cx="1165860" cy="285115"/>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5115"/>
                        </a:xfrm>
                        <a:prstGeom prst="rect">
                          <a:avLst/>
                        </a:prstGeom>
                        <a:solidFill>
                          <a:srgbClr val="FFFFFF"/>
                        </a:solidFill>
                        <a:ln w="9525">
                          <a:solidFill>
                            <a:srgbClr val="000000"/>
                          </a:solidFill>
                          <a:miter lim="800000"/>
                          <a:headEnd/>
                          <a:tailEnd/>
                        </a:ln>
                      </wps:spPr>
                      <wps:txbx>
                        <w:txbxContent>
                          <w:p w14:paraId="38CE46CF" w14:textId="621E6C28" w:rsidR="00521373" w:rsidRDefault="00521373" w:rsidP="00521373">
                            <w:r>
                              <w:rPr>
                                <w:rFonts w:hint="eastAsia"/>
                              </w:rPr>
                              <w:t>添付資料</w:t>
                            </w:r>
                            <w:r w:rsidR="00DF3CE8">
                              <w:rPr>
                                <w:rFonts w:hint="eastAsia"/>
                              </w:rPr>
                              <w:t>４</w:t>
                            </w:r>
                            <w:r>
                              <w:rPr>
                                <w:rFonts w:hint="eastAsia"/>
                              </w:rPr>
                              <w:t>－６</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2D635" id="_x0000_t202" coordsize="21600,21600" o:spt="202" path="m,l,21600r21600,l21600,xe">
                <v:stroke joinstyle="miter"/>
                <v:path gradientshapeok="t" o:connecttype="rect"/>
              </v:shapetype>
              <v:shape id="テキスト ボックス 2" o:spid="_x0000_s1026" type="#_x0000_t202" style="position:absolute;left:0;text-align:left;margin-left:374.5pt;margin-top:-43.9pt;width:91.8pt;height:22.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">
                <v:textbox style="mso-fit-shape-to-text:t">
                  <w:txbxContent>
                    <w:p w14:paraId="38CE46CF" w14:textId="621E6C28" w:rsidR="00521373" w:rsidRDefault="00521373" w:rsidP="00521373">
                      <w:r>
                        <w:rPr>
                          <w:rFonts w:hint="eastAsia"/>
                        </w:rPr>
                        <w:t>添付資料</w:t>
                      </w:r>
                      <w:r w:rsidR="00DF3CE8">
                        <w:rPr>
                          <w:rFonts w:hint="eastAsia"/>
                        </w:rPr>
                        <w:t>４</w:t>
                      </w:r>
                      <w:r>
                        <w:rPr>
                          <w:rFonts w:hint="eastAsia"/>
                        </w:rPr>
                        <w:t>－６</w:t>
                      </w:r>
                    </w:p>
                  </w:txbxContent>
                </v:textbox>
                <w10:wrap type="square"/>
              </v:shape>
            </w:pict>
          </mc:Fallback>
        </mc:AlternateContent>
      </w:r>
    </w:p>
    <w:p w14:paraId="36A7B592" w14:textId="77777777" w:rsidR="00F037C6" w:rsidRPr="00222040" w:rsidRDefault="00F037C6">
      <w:pPr>
        <w:jc w:val="center"/>
        <w:rPr>
          <w:rFonts w:asciiTheme="majorEastAsia" w:eastAsiaTheme="majorEastAsia" w:hAnsiTheme="majorEastAsia"/>
          <w:b/>
          <w:bCs/>
          <w:sz w:val="28"/>
          <w:szCs w:val="28"/>
        </w:rPr>
      </w:pPr>
      <w:r w:rsidRPr="00222040">
        <w:rPr>
          <w:rFonts w:asciiTheme="majorEastAsia" w:eastAsiaTheme="majorEastAsia" w:hAnsiTheme="majorEastAsia" w:hint="eastAsia"/>
          <w:b/>
          <w:bCs/>
          <w:sz w:val="28"/>
          <w:szCs w:val="28"/>
        </w:rPr>
        <w:t>投資信託累積投資規定</w:t>
      </w:r>
    </w:p>
    <w:p w14:paraId="5AED8505" w14:textId="77777777" w:rsidR="00810A07" w:rsidRDefault="00810A07" w:rsidP="00810A07">
      <w:pPr>
        <w:rPr>
          <w:rFonts w:ascii="ＭＳ 明朝" w:hAnsi="ＭＳ 明朝"/>
          <w:szCs w:val="21"/>
        </w:rPr>
      </w:pPr>
    </w:p>
    <w:p w14:paraId="0D740658" w14:textId="77777777" w:rsidR="00222040" w:rsidRDefault="00222040" w:rsidP="00810A07">
      <w:pPr>
        <w:rPr>
          <w:rFonts w:ascii="ＭＳ 明朝" w:hAnsi="ＭＳ 明朝"/>
          <w:szCs w:val="21"/>
        </w:rPr>
      </w:pPr>
    </w:p>
    <w:p w14:paraId="7984A057"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1条（趣旨）</w:t>
      </w:r>
    </w:p>
    <w:p w14:paraId="70081E0B"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この規定は、当組合とお客様との間の投資信託受益権（以下、「投資信託」といいます。）の累積投資に関する取決めです。当組合は、この規定に従って累積投資契約（以下、「契約」といいます。）をお客様と締結します。</w:t>
      </w:r>
    </w:p>
    <w:p w14:paraId="02757BB8"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この規定に別段の定めがないときは、「投資信託総合取引規定」および同規定第2条各号に定める約款</w:t>
      </w:r>
      <w:r w:rsidRPr="006501CB">
        <w:rPr>
          <w:rFonts w:ascii="ＭＳ 明朝" w:hAnsi="ＭＳ 明朝" w:hint="eastAsia"/>
          <w:kern w:val="0"/>
          <w:szCs w:val="21"/>
        </w:rPr>
        <w:t>・</w:t>
      </w:r>
      <w:r w:rsidRPr="006501CB">
        <w:rPr>
          <w:rFonts w:ascii="ＭＳ 明朝" w:hAnsi="ＭＳ 明朝"/>
          <w:kern w:val="0"/>
          <w:szCs w:val="21"/>
        </w:rPr>
        <w:t>規定またはこの契約にかかる投資信託の目論見書等の定めによるものとします。</w:t>
      </w:r>
    </w:p>
    <w:p w14:paraId="7017EEB9"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2条（定義）</w:t>
      </w:r>
    </w:p>
    <w:p w14:paraId="612E27D8"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累積投資とは、あらかじめ定められた方法により、お客様が指定した貯金口座（以下、「指定口座」といいます。）から引き落とした金銭またはお客様が当組合に開設された投資信託受益権振替決済口座（以下、「振替決済口座」といいます。）に記載または記録されている投資信託の収益分配金等の金銭を対価として同一種類の投資信託の買付注文を継続的に行い、取得することをいいます。なお、累積投資のためにお客様の金銭を分別する口座を「累積投資口座」といいます。累積投資口座でお預かりしたお客様の金銭に対しては、利子、その他いかなる名目による対価も支払いません。</w:t>
      </w:r>
    </w:p>
    <w:p w14:paraId="42BB64F5"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3条（申込方法）</w:t>
      </w:r>
    </w:p>
    <w:p w14:paraId="2A1CDC87"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お客様は、当組合所定の申込書に必要事項を記載のうえ、届出の印鑑を押印し、これを当組合の本・支店または事務所（以下、「取扱店」といいます。）に提出することによって契約を申し込むものとします。</w:t>
      </w:r>
    </w:p>
    <w:p w14:paraId="3044F27F"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当組合が当該申込みを承諾し、契約が締結されたとき、当組合は直ちにお客様の累積投資口座を開設します。</w:t>
      </w:r>
    </w:p>
    <w:p w14:paraId="6017C89A"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3　お客様が、個別の投資信託について累積投資を開始するときは、前二項により契約を締結したうえで、当組合に申し込むものとします。ただし、当組合が累積投資の対象としていない投資信託については当該申込みをすることはできません。</w:t>
      </w:r>
    </w:p>
    <w:p w14:paraId="0B77AD51"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なお、当組合が累積投資取引の対象として定める投資信託、および当組合が別に定める「非課税上場株式等管理、非課税累積投資および特定非課税累積投資に関する約款」（以下、本条において「当該約款」といいます。）に基づき、お客様が特定累積投資勘定にかかる累積投資契約による取引（以下、「つみたて投資枠」といいます。）での取得のお申込みをすることができる投資信託の銘柄については、当組合ホームページ等に掲載するものとします。</w:t>
      </w:r>
      <w:r w:rsidRPr="006501CB">
        <w:rPr>
          <w:rFonts w:ascii="ＭＳ 明朝" w:hAnsi="ＭＳ 明朝"/>
          <w:kern w:val="0"/>
          <w:szCs w:val="21"/>
        </w:rPr>
        <w:t xml:space="preserve"> </w:t>
      </w:r>
    </w:p>
    <w:p w14:paraId="0940A916"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ただし、当該約款により、お客様がつみたて投資枠のみでの取得のお申込みをすることができる投資信託の銘柄については、つみたて投資枠以外の累積投資取引による取得のお申込みや、累積投資取引によらない取得のお申込みをすることはできません。</w:t>
      </w:r>
    </w:p>
    <w:p w14:paraId="10A36E5D"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4　累積投資取引のうち定期定額購入取引の申込方法等については「「ＪＡの投信つみたてサービス」取扱規定」によるものとします。</w:t>
      </w:r>
    </w:p>
    <w:p w14:paraId="68CD9031" w14:textId="6BDEF93E"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また、累積投資取引のうち、「ＪＡの投信つみたてサービス」の申込方法等については、「「ＪＡの投信つみたてサービス」取扱規定」によるものとし、つみたて投資枠でのお申込みをされる場合には、当該約款の規定にも従うものとします。</w:t>
      </w:r>
    </w:p>
    <w:p w14:paraId="3121A0A9"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4条（金銭の払込み）</w:t>
      </w:r>
    </w:p>
    <w:p w14:paraId="721D4CB5"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お客様は、この契約にかかる投資信託の買付けにあてるため（第</w:t>
      </w:r>
      <w:r w:rsidRPr="006501CB">
        <w:rPr>
          <w:rFonts w:ascii="ＭＳ 明朝" w:hAnsi="ＭＳ 明朝"/>
          <w:kern w:val="0"/>
          <w:szCs w:val="21"/>
        </w:rPr>
        <w:t>7条に定める収益分配金の再投資にか</w:t>
      </w:r>
      <w:r w:rsidRPr="006501CB">
        <w:rPr>
          <w:rFonts w:ascii="ＭＳ 明朝" w:hAnsi="ＭＳ 明朝"/>
          <w:kern w:val="0"/>
          <w:szCs w:val="21"/>
        </w:rPr>
        <w:lastRenderedPageBreak/>
        <w:t>かる買付けを除きます。）、一回の払込みにつき1万円以上の金銭（以下、「払込金」といいます。）を払い込むことができます。ただし、「ＪＡの投信つみたてサービス」を利用して買い付ける場合は、一回の払込みにつき5千円以上の金銭を払い込むことができます。</w:t>
      </w:r>
    </w:p>
    <w:p w14:paraId="6914A95F"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5条（買付方法、時期および価額）</w:t>
      </w:r>
    </w:p>
    <w:p w14:paraId="58B297D3"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当組合は、お客様からこの契約にかかる投資信託の買付けの申込みがあったとき、当該投資信託の目論見書の定めるところに従い、当該投資信託の買付けを行います。</w:t>
      </w:r>
    </w:p>
    <w:p w14:paraId="56774C39"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前項の買付価額は、当該投資信託の目論見書に定める所定の基準価額に所定の手数料等を加えた金額とします。</w:t>
      </w:r>
    </w:p>
    <w:p w14:paraId="39B406FE"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3　買い付けられたこの契約にかかる投資信託の所有権およびその収益分配金または元本に対する請求権は、当該買付けのあった日からお客様に帰属するものとします。</w:t>
      </w:r>
    </w:p>
    <w:p w14:paraId="4A7D0169"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6条（管理）</w:t>
      </w:r>
    </w:p>
    <w:p w14:paraId="38ABE965" w14:textId="77777777" w:rsidR="00BA0EB9" w:rsidRPr="006501CB" w:rsidRDefault="00BA0EB9" w:rsidP="00BA0EB9">
      <w:pPr>
        <w:ind w:firstLineChars="143" w:firstLine="283"/>
        <w:rPr>
          <w:rFonts w:ascii="ＭＳ 明朝" w:hAnsi="ＭＳ 明朝"/>
          <w:kern w:val="0"/>
          <w:szCs w:val="21"/>
        </w:rPr>
      </w:pPr>
      <w:r w:rsidRPr="006501CB">
        <w:rPr>
          <w:rFonts w:ascii="ＭＳ 明朝" w:hAnsi="ＭＳ 明朝" w:hint="eastAsia"/>
          <w:kern w:val="0"/>
          <w:szCs w:val="21"/>
        </w:rPr>
        <w:t>この契約にかかる投資信託は、お客様の振替決済口座に記載または記録することにより管理します。</w:t>
      </w:r>
    </w:p>
    <w:p w14:paraId="36258FC6"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当組合は、当該管理にかかる管理料を申し受けることがあります。この場合には、投資信託受益権振替決済口座管理規定第12条が準用されるものとします。</w:t>
      </w:r>
    </w:p>
    <w:p w14:paraId="5A096EBA" w14:textId="77777777" w:rsidR="00BA0EB9" w:rsidRPr="006501CB" w:rsidRDefault="00BA0EB9" w:rsidP="00BA0EB9">
      <w:pPr>
        <w:rPr>
          <w:rFonts w:ascii="ＭＳ 明朝" w:hAnsi="ＭＳ 明朝"/>
          <w:kern w:val="0"/>
          <w:szCs w:val="21"/>
        </w:rPr>
      </w:pPr>
      <w:r w:rsidRPr="006501CB">
        <w:rPr>
          <w:rFonts w:ascii="ＭＳ 明朝" w:hAnsi="ＭＳ 明朝"/>
          <w:kern w:val="0"/>
          <w:szCs w:val="21"/>
        </w:rPr>
        <w:t>3　この契約にかかるお客様の権利は、譲渡または質入れすることはできません。</w:t>
      </w:r>
    </w:p>
    <w:p w14:paraId="36E9C092"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7条（収益分配金の再投資）</w:t>
      </w:r>
    </w:p>
    <w:p w14:paraId="408D6333"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前条第</w:t>
      </w:r>
      <w:r w:rsidRPr="006501CB">
        <w:rPr>
          <w:rFonts w:ascii="ＭＳ 明朝" w:hAnsi="ＭＳ 明朝"/>
          <w:kern w:val="0"/>
          <w:szCs w:val="21"/>
        </w:rPr>
        <w:t>1項に基づき管理されている投資信託の収益分配金は、お客様に代わって当組合が受領し、所定の税金を差し引いた後、お客様の累積投資口座に繰り入れ、その全額をもって決算日の基準価額により当該投資信託の買付けを行います。</w:t>
      </w:r>
    </w:p>
    <w:p w14:paraId="0B238448" w14:textId="77777777" w:rsidR="00BA0EB9" w:rsidRPr="006501CB" w:rsidRDefault="00BA0EB9" w:rsidP="00BA0EB9">
      <w:pPr>
        <w:ind w:firstLineChars="143" w:firstLine="283"/>
        <w:rPr>
          <w:rFonts w:ascii="ＭＳ 明朝" w:hAnsi="ＭＳ 明朝"/>
          <w:kern w:val="0"/>
          <w:szCs w:val="21"/>
        </w:rPr>
      </w:pPr>
      <w:r w:rsidRPr="006501CB">
        <w:rPr>
          <w:rFonts w:ascii="ＭＳ 明朝" w:hAnsi="ＭＳ 明朝" w:hint="eastAsia"/>
          <w:kern w:val="0"/>
          <w:szCs w:val="21"/>
        </w:rPr>
        <w:t>なお、この場合、購入の手数料は無料とします。</w:t>
      </w:r>
    </w:p>
    <w:p w14:paraId="6C966F15"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当組合は、お客様から申出があった場合、前項の買付けを中止し、当該投資信託の収益分配金を定期的に受け取る契約をお客様と締結することができます。この場合、収益分配金は指定口座に入金します。</w:t>
      </w:r>
    </w:p>
    <w:p w14:paraId="623069EB"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3　非課税口座（租税特別措置法第37条の14第5</w:t>
      </w:r>
      <w:r w:rsidRPr="006501CB">
        <w:rPr>
          <w:rFonts w:ascii="ＭＳ 明朝" w:hAnsi="ＭＳ 明朝" w:hint="eastAsia"/>
          <w:kern w:val="0"/>
          <w:szCs w:val="21"/>
        </w:rPr>
        <w:t>項</w:t>
      </w:r>
      <w:r w:rsidRPr="006501CB">
        <w:rPr>
          <w:rFonts w:ascii="ＭＳ 明朝" w:hAnsi="ＭＳ 明朝"/>
          <w:kern w:val="0"/>
          <w:szCs w:val="21"/>
        </w:rPr>
        <w:t>第1号に定める非課税口座をいいます。以下同じ。）の非課税管理勘定（同条同項第3号に定める非課税管理勘定をいいます。以下同じ。）で管理されている投資信託の収益分配金の再投資は、お客様が特定口座と一般口座を保有されている場合は特定口座で、特定口座を保有されていない場合は一般口座で買付けを行います。ただし、非課税口座の非課税管理勘定で管理されている投資信託のうち特定非課税管理勘定に受け入れることができるものにかかる収益分配金の再投資については、再投資を行う年分の特定</w:t>
      </w:r>
      <w:r w:rsidRPr="006501CB">
        <w:rPr>
          <w:rFonts w:ascii="ＭＳ 明朝" w:hAnsi="ＭＳ 明朝" w:hint="eastAsia"/>
          <w:kern w:val="0"/>
          <w:szCs w:val="21"/>
        </w:rPr>
        <w:t>非課税管理勘定の非課税限度額を超えない範囲で、当該勘定での再投資ができるものとします。</w:t>
      </w:r>
    </w:p>
    <w:p w14:paraId="765C4EC9"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4　非課税口座の累積投資勘定で管理されている投資信託の収益分配金の再投資は、お客様が特定口座と一般口座を保有されている場合は特定口座で、特定口座を保有されていない場合は一般口座で買付けを行います。</w:t>
      </w:r>
    </w:p>
    <w:p w14:paraId="4E475CDF"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5　非課税口座の特定累積投資勘定で管理されている投資信託の収益分配金の再投資は、再投資を行う年分の特定累積投資勘定の非課税限度額を超えない範囲で、当該勘定での買付けを行います。</w:t>
      </w:r>
    </w:p>
    <w:p w14:paraId="22C2A790"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6　非課税口座の特定非課税管理勘定で管理されている投資信託の収益分配金の再投資は、再投資を行う年分の特定非課税管理勘定の非課税限度額を超えない範囲で、当該勘定での買付けを行います。</w:t>
      </w:r>
    </w:p>
    <w:p w14:paraId="20A2FCE8"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 xml:space="preserve">7　第3項および前二項の適用に関し、当該各勘定の非課税限度額を超える部分については、お客様が特定口座を開設されている場合は特定口座で、開設されていない場合は一般口座での買付けを行います。 </w:t>
      </w:r>
    </w:p>
    <w:p w14:paraId="27CD0F99"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8条（金銭の返還等）</w:t>
      </w:r>
    </w:p>
    <w:p w14:paraId="00DC26B8" w14:textId="77777777" w:rsidR="00BA0EB9" w:rsidRPr="006501CB" w:rsidRDefault="00BA0EB9" w:rsidP="00BA0EB9">
      <w:pPr>
        <w:ind w:firstLineChars="143" w:firstLine="283"/>
        <w:rPr>
          <w:rFonts w:ascii="ＭＳ 明朝" w:hAnsi="ＭＳ 明朝"/>
          <w:kern w:val="0"/>
          <w:szCs w:val="21"/>
        </w:rPr>
      </w:pPr>
      <w:r w:rsidRPr="006501CB">
        <w:rPr>
          <w:rFonts w:ascii="ＭＳ 明朝" w:hAnsi="ＭＳ 明朝" w:hint="eastAsia"/>
          <w:kern w:val="0"/>
          <w:szCs w:val="21"/>
        </w:rPr>
        <w:t>当組合は、この契約に基づく投資信託の償還金については、所定の期日に指定口座に入金します。</w:t>
      </w:r>
    </w:p>
    <w:p w14:paraId="18C614EC"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お客様が、この契約に基づく投資信託の解約の請求をする場合には、所定の手続きによってこれを行うものとし、解約代金は所定の期日に指定口座に入金します。</w:t>
      </w:r>
    </w:p>
    <w:p w14:paraId="021D5E6E"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lastRenderedPageBreak/>
        <w:t>3　前項の解約価額は、当該投資信託の目論見書に定める価額とし、当該解約価額から所定の手数料等を差し引いた金額を指定口座に入金します。</w:t>
      </w:r>
    </w:p>
    <w:p w14:paraId="3BBC65E2"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4　お客様が、この契約に基づく投資信託を他の口座管理機関へ振り替える場合には、投資信託受益権振替決済口座管理規定第</w:t>
      </w:r>
      <w:r w:rsidRPr="006501CB">
        <w:rPr>
          <w:rFonts w:ascii="ＭＳ 明朝" w:hAnsi="ＭＳ 明朝" w:hint="eastAsia"/>
          <w:kern w:val="0"/>
          <w:szCs w:val="21"/>
        </w:rPr>
        <w:t>7</w:t>
      </w:r>
      <w:r w:rsidRPr="006501CB">
        <w:rPr>
          <w:rFonts w:ascii="ＭＳ 明朝" w:hAnsi="ＭＳ 明朝"/>
          <w:kern w:val="0"/>
          <w:szCs w:val="21"/>
        </w:rPr>
        <w:t>条の規定に従って振替の手続きをするものとします。</w:t>
      </w:r>
    </w:p>
    <w:p w14:paraId="459D6EFA"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sidRPr="006501CB">
        <w:rPr>
          <w:rFonts w:ascii="ＭＳ ゴシック" w:eastAsia="ＭＳ ゴシック" w:hAnsi="ＭＳ ゴシック"/>
          <w:kern w:val="0"/>
          <w:szCs w:val="21"/>
        </w:rPr>
        <w:t>9条（スイッチング（乗換））</w:t>
      </w:r>
    </w:p>
    <w:p w14:paraId="43B733C7"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投資信託の解約による解約手取金を他の投資信託の買付代金とし、解約および買付けを一組の同時の注文として取り扱うことをスイッチング（乗換）といいます。</w:t>
      </w:r>
    </w:p>
    <w:p w14:paraId="664A33A8"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スイッチング（乗換）の注文があったときは、第5条および第8条の定めに準じて取り扱います。ただし、この場合、当該投資信託の解約代金から所定の手数料、税金および諸費用等を差し引いた金額をもって他の投資信託の買付注文を行います。スイッチング（乗換）は、この契約に基づく投資信託のうち、当該投資信託の目論見書等にスイッチング（乗換）に関する記載のある投資信託に限り、その記載の範囲内で行うことができます。</w:t>
      </w:r>
    </w:p>
    <w:p w14:paraId="47AC901E" w14:textId="77777777" w:rsidR="00BA0EB9" w:rsidRPr="006501CB" w:rsidRDefault="00BA0EB9" w:rsidP="00BA0EB9">
      <w:pPr>
        <w:rPr>
          <w:rFonts w:ascii="ＭＳ 明朝" w:hAnsi="ＭＳ 明朝"/>
          <w:kern w:val="0"/>
          <w:szCs w:val="21"/>
        </w:rPr>
      </w:pPr>
      <w:r w:rsidRPr="006501CB">
        <w:rPr>
          <w:rFonts w:ascii="ＭＳ 明朝" w:hAnsi="ＭＳ 明朝"/>
          <w:kern w:val="0"/>
          <w:szCs w:val="21"/>
        </w:rPr>
        <w:t>3　スイッチング（乗換）の注文については、第4条の定めは適用されません。</w:t>
      </w:r>
    </w:p>
    <w:p w14:paraId="4221B1CE" w14:textId="77777777" w:rsidR="00BA0EB9" w:rsidRPr="007E040C" w:rsidRDefault="00BA0EB9" w:rsidP="00BA0EB9">
      <w:pPr>
        <w:rPr>
          <w:rFonts w:ascii="ＭＳ ゴシック" w:eastAsia="ＭＳ ゴシック" w:hAnsi="ＭＳ ゴシック"/>
          <w:kern w:val="0"/>
          <w:szCs w:val="21"/>
        </w:rPr>
      </w:pPr>
      <w:r w:rsidRPr="007E040C">
        <w:rPr>
          <w:rFonts w:ascii="ＭＳ ゴシック" w:eastAsia="ＭＳ ゴシック" w:hAnsi="ＭＳ ゴシック" w:hint="eastAsia"/>
          <w:kern w:val="0"/>
          <w:szCs w:val="21"/>
        </w:rPr>
        <w:t>第10</w:t>
      </w:r>
      <w:r w:rsidRPr="007E040C">
        <w:rPr>
          <w:rFonts w:ascii="ＭＳ ゴシック" w:eastAsia="ＭＳ ゴシック" w:hAnsi="ＭＳ ゴシック"/>
          <w:kern w:val="0"/>
          <w:szCs w:val="21"/>
        </w:rPr>
        <w:t>条（</w:t>
      </w:r>
      <w:r w:rsidRPr="007E040C">
        <w:rPr>
          <w:rFonts w:ascii="ＭＳ ゴシック" w:eastAsia="ＭＳ ゴシック" w:hAnsi="ＭＳ ゴシック" w:hint="eastAsia"/>
          <w:kern w:val="0"/>
          <w:szCs w:val="21"/>
        </w:rPr>
        <w:t>取引の制限等</w:t>
      </w:r>
      <w:r w:rsidRPr="007E040C">
        <w:rPr>
          <w:rFonts w:ascii="ＭＳ ゴシック" w:eastAsia="ＭＳ ゴシック" w:hAnsi="ＭＳ ゴシック"/>
          <w:kern w:val="0"/>
          <w:szCs w:val="21"/>
        </w:rPr>
        <w:t>）</w:t>
      </w:r>
    </w:p>
    <w:p w14:paraId="21AEFCB0" w14:textId="77777777" w:rsidR="00BA0EB9" w:rsidRPr="007E040C" w:rsidRDefault="00BA0EB9" w:rsidP="00BA0EB9">
      <w:pPr>
        <w:ind w:leftChars="71" w:left="140" w:firstLineChars="71" w:firstLine="140"/>
        <w:rPr>
          <w:rFonts w:ascii="ＭＳ 明朝" w:hAnsi="ＭＳ 明朝"/>
          <w:kern w:val="0"/>
          <w:szCs w:val="21"/>
        </w:rPr>
      </w:pPr>
      <w:r w:rsidRPr="007E040C">
        <w:rPr>
          <w:rFonts w:ascii="ＭＳ 明朝" w:hAnsi="ＭＳ 明朝"/>
          <w:kern w:val="0"/>
          <w:szCs w:val="21"/>
        </w:rPr>
        <w:t>当組合は、</w:t>
      </w:r>
      <w:r w:rsidRPr="007E040C">
        <w:rPr>
          <w:rFonts w:ascii="ＭＳ 明朝" w:hAnsi="ＭＳ 明朝" w:hint="eastAsia"/>
          <w:kern w:val="0"/>
          <w:szCs w:val="21"/>
        </w:rPr>
        <w:t>お客様</w:t>
      </w:r>
      <w:r w:rsidRPr="007E040C">
        <w:rPr>
          <w:rFonts w:ascii="ＭＳ 明朝" w:hAnsi="ＭＳ 明朝"/>
          <w:kern w:val="0"/>
          <w:szCs w:val="21"/>
        </w:rPr>
        <w:t>の情報および具体的な取引の内容等を適切に把握するため、提出期限を指定して各種確認や資料の提出を求めることがあります。</w:t>
      </w:r>
      <w:r w:rsidRPr="007E040C">
        <w:rPr>
          <w:rFonts w:ascii="ＭＳ 明朝" w:hAnsi="ＭＳ 明朝" w:hint="eastAsia"/>
          <w:kern w:val="0"/>
          <w:szCs w:val="21"/>
        </w:rPr>
        <w:t>お客様</w:t>
      </w:r>
      <w:r w:rsidRPr="007E040C">
        <w:rPr>
          <w:rFonts w:ascii="ＭＳ 明朝" w:hAnsi="ＭＳ 明朝"/>
          <w:kern w:val="0"/>
          <w:szCs w:val="21"/>
        </w:rPr>
        <w:t>から正当な理由なく指定した期限までに回答がいただけない場合には、本規定に</w:t>
      </w:r>
      <w:r w:rsidRPr="007E040C">
        <w:rPr>
          <w:rFonts w:ascii="ＭＳ 明朝" w:hAnsi="ＭＳ 明朝" w:hint="eastAsia"/>
          <w:kern w:val="0"/>
          <w:szCs w:val="21"/>
        </w:rPr>
        <w:t>基づく</w:t>
      </w:r>
      <w:r w:rsidRPr="007E040C">
        <w:rPr>
          <w:rFonts w:ascii="ＭＳ 明朝" w:hAnsi="ＭＳ 明朝"/>
          <w:kern w:val="0"/>
          <w:szCs w:val="21"/>
        </w:rPr>
        <w:t>取引の一部を制限する場合があります。</w:t>
      </w:r>
    </w:p>
    <w:p w14:paraId="51209F0A" w14:textId="77777777" w:rsidR="00BA0EB9" w:rsidRPr="007E040C" w:rsidRDefault="00BA0EB9" w:rsidP="00BA0EB9">
      <w:pPr>
        <w:ind w:left="140" w:hangingChars="71" w:hanging="140"/>
        <w:rPr>
          <w:rFonts w:ascii="ＭＳ 明朝" w:hAnsi="ＭＳ 明朝"/>
          <w:kern w:val="0"/>
          <w:szCs w:val="21"/>
        </w:rPr>
      </w:pPr>
      <w:r w:rsidRPr="007E040C">
        <w:rPr>
          <w:rFonts w:ascii="ＭＳ 明朝" w:hAnsi="ＭＳ 明朝"/>
          <w:kern w:val="0"/>
          <w:szCs w:val="21"/>
        </w:rPr>
        <w:t>2　前項の各種確認や資料の提出の求めに対する</w:t>
      </w:r>
      <w:r w:rsidRPr="007E040C">
        <w:rPr>
          <w:rFonts w:ascii="ＭＳ 明朝" w:hAnsi="ＭＳ 明朝" w:hint="eastAsia"/>
          <w:kern w:val="0"/>
          <w:szCs w:val="21"/>
        </w:rPr>
        <w:t>お客様</w:t>
      </w:r>
      <w:r w:rsidRPr="007E040C">
        <w:rPr>
          <w:rFonts w:ascii="ＭＳ 明朝" w:hAnsi="ＭＳ 明朝"/>
          <w:kern w:val="0"/>
          <w:szCs w:val="21"/>
        </w:rPr>
        <w:t>の回答、具体的な取引の内容、</w:t>
      </w:r>
      <w:r w:rsidRPr="007E040C">
        <w:rPr>
          <w:rFonts w:ascii="ＭＳ 明朝" w:hAnsi="ＭＳ 明朝" w:hint="eastAsia"/>
          <w:kern w:val="0"/>
          <w:szCs w:val="21"/>
        </w:rPr>
        <w:t>お客様</w:t>
      </w:r>
      <w:r w:rsidRPr="007E040C">
        <w:rPr>
          <w:rFonts w:ascii="ＭＳ 明朝" w:hAnsi="ＭＳ 明朝"/>
          <w:kern w:val="0"/>
          <w:szCs w:val="21"/>
        </w:rPr>
        <w:t>の説明内容およびその他の事情を考慮して、当組合がマネー・ローンダリング、テロ資金供与、</w:t>
      </w:r>
      <w:r w:rsidRPr="007E040C">
        <w:rPr>
          <w:rFonts w:ascii="ＭＳ 明朝" w:hAnsi="ＭＳ 明朝" w:hint="eastAsia"/>
          <w:kern w:val="0"/>
          <w:szCs w:val="21"/>
        </w:rPr>
        <w:t>また</w:t>
      </w:r>
      <w:r w:rsidRPr="007E040C">
        <w:rPr>
          <w:rFonts w:ascii="ＭＳ 明朝" w:hAnsi="ＭＳ 明朝"/>
          <w:kern w:val="0"/>
          <w:szCs w:val="21"/>
        </w:rPr>
        <w:t>は経済制裁関係法令等への抵触のおそれがあると判断した場合には、本規定に</w:t>
      </w:r>
      <w:r w:rsidRPr="007E040C">
        <w:rPr>
          <w:rFonts w:ascii="ＭＳ 明朝" w:hAnsi="ＭＳ 明朝" w:hint="eastAsia"/>
          <w:kern w:val="0"/>
          <w:szCs w:val="21"/>
        </w:rPr>
        <w:t>基づく</w:t>
      </w:r>
      <w:r w:rsidRPr="007E040C">
        <w:rPr>
          <w:rFonts w:ascii="ＭＳ 明朝" w:hAnsi="ＭＳ 明朝"/>
          <w:kern w:val="0"/>
          <w:szCs w:val="21"/>
        </w:rPr>
        <w:t>取引の一部を制限する場合があります。</w:t>
      </w:r>
    </w:p>
    <w:p w14:paraId="6B8217D3" w14:textId="77777777" w:rsidR="00BA0EB9" w:rsidRPr="007E040C" w:rsidRDefault="00BA0EB9" w:rsidP="00BA0EB9">
      <w:pPr>
        <w:ind w:left="140" w:hangingChars="71" w:hanging="140"/>
        <w:rPr>
          <w:rFonts w:ascii="ＭＳ 明朝" w:hAnsi="ＭＳ 明朝"/>
          <w:kern w:val="0"/>
          <w:szCs w:val="21"/>
        </w:rPr>
      </w:pPr>
      <w:r w:rsidRPr="007E040C">
        <w:rPr>
          <w:rFonts w:ascii="ＭＳ 明朝" w:hAnsi="ＭＳ 明朝" w:hint="eastAsia"/>
          <w:kern w:val="0"/>
          <w:szCs w:val="21"/>
        </w:rPr>
        <w:t xml:space="preserve">3　</w:t>
      </w:r>
      <w:r w:rsidRPr="007E040C">
        <w:rPr>
          <w:rFonts w:ascii="ＭＳ 明朝" w:hAnsi="ＭＳ 明朝"/>
          <w:kern w:val="0"/>
          <w:szCs w:val="21"/>
        </w:rPr>
        <w:t>前</w:t>
      </w:r>
      <w:r w:rsidRPr="007E040C">
        <w:rPr>
          <w:rFonts w:ascii="ＭＳ 明朝" w:hAnsi="ＭＳ 明朝" w:hint="eastAsia"/>
          <w:kern w:val="0"/>
          <w:szCs w:val="21"/>
        </w:rPr>
        <w:t>二</w:t>
      </w:r>
      <w:r w:rsidRPr="007E040C">
        <w:rPr>
          <w:rFonts w:ascii="ＭＳ 明朝" w:hAnsi="ＭＳ 明朝"/>
          <w:kern w:val="0"/>
          <w:szCs w:val="21"/>
        </w:rPr>
        <w:t>項に定めるいずれの取引等の制限についても、</w:t>
      </w:r>
      <w:r w:rsidRPr="007E040C">
        <w:rPr>
          <w:rFonts w:ascii="ＭＳ 明朝" w:hAnsi="ＭＳ 明朝" w:hint="eastAsia"/>
          <w:kern w:val="0"/>
          <w:szCs w:val="21"/>
        </w:rPr>
        <w:t>お客様</w:t>
      </w:r>
      <w:r w:rsidRPr="007E040C">
        <w:rPr>
          <w:rFonts w:ascii="ＭＳ 明朝" w:hAnsi="ＭＳ 明朝"/>
          <w:kern w:val="0"/>
          <w:szCs w:val="21"/>
        </w:rPr>
        <w:t>からの説明等に</w:t>
      </w:r>
      <w:r w:rsidRPr="007E040C">
        <w:rPr>
          <w:rFonts w:ascii="ＭＳ 明朝" w:hAnsi="ＭＳ 明朝" w:hint="eastAsia"/>
          <w:kern w:val="0"/>
          <w:szCs w:val="21"/>
        </w:rPr>
        <w:t>基づき</w:t>
      </w:r>
      <w:r w:rsidRPr="007E040C">
        <w:rPr>
          <w:rFonts w:ascii="ＭＳ 明朝" w:hAnsi="ＭＳ 明朝"/>
          <w:kern w:val="0"/>
          <w:szCs w:val="21"/>
        </w:rPr>
        <w:t>、マネー・ローンダリング、テロ資金供与、または経済制裁関係法令等への抵触のおそれが合理的に解消されたと当組合が認める場合、当組合は前</w:t>
      </w:r>
      <w:r w:rsidRPr="007E040C">
        <w:rPr>
          <w:rFonts w:ascii="ＭＳ 明朝" w:hAnsi="ＭＳ 明朝" w:hint="eastAsia"/>
          <w:kern w:val="0"/>
          <w:szCs w:val="21"/>
        </w:rPr>
        <w:t>二</w:t>
      </w:r>
      <w:r w:rsidRPr="007E040C">
        <w:rPr>
          <w:rFonts w:ascii="ＭＳ 明朝" w:hAnsi="ＭＳ 明朝"/>
          <w:kern w:val="0"/>
          <w:szCs w:val="21"/>
        </w:rPr>
        <w:t>項に基づく取引等の制限を解除します。</w:t>
      </w:r>
    </w:p>
    <w:p w14:paraId="78D8E7A5" w14:textId="77777777" w:rsidR="00BA0EB9" w:rsidRPr="006501CB" w:rsidRDefault="00BA0EB9" w:rsidP="00BA0EB9">
      <w:pPr>
        <w:rPr>
          <w:rFonts w:ascii="ＭＳ ゴシック" w:eastAsia="ＭＳ ゴシック" w:hAnsi="ＭＳ ゴシック"/>
          <w:kern w:val="0"/>
          <w:szCs w:val="21"/>
        </w:rPr>
      </w:pPr>
      <w:r w:rsidRPr="006501C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11</w:t>
      </w:r>
      <w:r w:rsidRPr="006501CB">
        <w:rPr>
          <w:rFonts w:ascii="ＭＳ ゴシック" w:eastAsia="ＭＳ ゴシック" w:hAnsi="ＭＳ ゴシック"/>
          <w:kern w:val="0"/>
          <w:szCs w:val="21"/>
        </w:rPr>
        <w:t>条（解約）</w:t>
      </w:r>
    </w:p>
    <w:p w14:paraId="343B97A8" w14:textId="77777777" w:rsidR="00BA0EB9" w:rsidRPr="006501CB" w:rsidRDefault="00BA0EB9" w:rsidP="00BA0EB9">
      <w:pPr>
        <w:ind w:leftChars="71" w:left="140" w:firstLineChars="71" w:firstLine="140"/>
        <w:rPr>
          <w:rFonts w:ascii="ＭＳ 明朝" w:hAnsi="ＭＳ 明朝"/>
          <w:kern w:val="0"/>
          <w:szCs w:val="21"/>
        </w:rPr>
      </w:pPr>
      <w:r w:rsidRPr="006501CB">
        <w:rPr>
          <w:rFonts w:ascii="ＭＳ 明朝" w:hAnsi="ＭＳ 明朝" w:hint="eastAsia"/>
          <w:kern w:val="0"/>
          <w:szCs w:val="21"/>
        </w:rPr>
        <w:t>この契約は、投資信託総合取引規定第</w:t>
      </w:r>
      <w:r>
        <w:rPr>
          <w:rFonts w:ascii="ＭＳ 明朝" w:hAnsi="ＭＳ 明朝" w:hint="eastAsia"/>
          <w:kern w:val="0"/>
          <w:szCs w:val="21"/>
        </w:rPr>
        <w:t>11</w:t>
      </w:r>
      <w:r w:rsidRPr="006501CB">
        <w:rPr>
          <w:rFonts w:ascii="ＭＳ 明朝" w:hAnsi="ＭＳ 明朝"/>
          <w:kern w:val="0"/>
          <w:szCs w:val="21"/>
        </w:rPr>
        <w:t>条第1項または第2項のいずれかに該当したとき、もしくは次の各号のいずれかに該当したときは、解約されるものとします。</w:t>
      </w:r>
    </w:p>
    <w:p w14:paraId="6D35E577" w14:textId="77777777" w:rsidR="00BA0EB9" w:rsidRPr="006501CB" w:rsidRDefault="00BA0EB9" w:rsidP="00BA0EB9">
      <w:pPr>
        <w:ind w:firstLineChars="71" w:firstLine="140"/>
        <w:rPr>
          <w:rFonts w:ascii="ＭＳ 明朝" w:hAnsi="ＭＳ 明朝"/>
          <w:kern w:val="0"/>
          <w:szCs w:val="21"/>
        </w:rPr>
      </w:pPr>
      <w:r w:rsidRPr="006501CB">
        <w:rPr>
          <w:rFonts w:ascii="ＭＳ 明朝" w:hAnsi="ＭＳ 明朝" w:hint="eastAsia"/>
          <w:kern w:val="0"/>
          <w:szCs w:val="21"/>
        </w:rPr>
        <w:t>①　お客様から解約の申出があったとき。</w:t>
      </w:r>
    </w:p>
    <w:p w14:paraId="47B0F37A" w14:textId="77777777" w:rsidR="00BA0EB9" w:rsidRPr="006501CB" w:rsidRDefault="00BA0EB9" w:rsidP="00BA0EB9">
      <w:pPr>
        <w:ind w:firstLineChars="71" w:firstLine="140"/>
        <w:rPr>
          <w:rFonts w:ascii="ＭＳ 明朝" w:hAnsi="ＭＳ 明朝"/>
          <w:kern w:val="0"/>
          <w:szCs w:val="21"/>
        </w:rPr>
      </w:pPr>
      <w:r w:rsidRPr="006501CB">
        <w:rPr>
          <w:rFonts w:ascii="ＭＳ 明朝" w:hAnsi="ＭＳ 明朝" w:hint="eastAsia"/>
          <w:kern w:val="0"/>
          <w:szCs w:val="21"/>
        </w:rPr>
        <w:t>②　当組合が累積投資業務を営むことができなくなったとき。</w:t>
      </w:r>
    </w:p>
    <w:p w14:paraId="6A7962DD" w14:textId="77777777" w:rsidR="00BA0EB9" w:rsidRPr="006501CB" w:rsidRDefault="00BA0EB9" w:rsidP="00BA0EB9">
      <w:pPr>
        <w:ind w:firstLineChars="71" w:firstLine="140"/>
        <w:rPr>
          <w:rFonts w:ascii="ＭＳ 明朝" w:hAnsi="ＭＳ 明朝"/>
          <w:kern w:val="0"/>
          <w:szCs w:val="21"/>
        </w:rPr>
      </w:pPr>
      <w:r w:rsidRPr="006501CB">
        <w:rPr>
          <w:rFonts w:ascii="ＭＳ 明朝" w:hAnsi="ＭＳ 明朝" w:hint="eastAsia"/>
          <w:kern w:val="0"/>
          <w:szCs w:val="21"/>
        </w:rPr>
        <w:t>③　この契約にかかる投資信託が償還されたとき。</w:t>
      </w:r>
    </w:p>
    <w:p w14:paraId="4DD2A66E" w14:textId="77777777" w:rsidR="00BA0EB9" w:rsidRPr="006501CB" w:rsidRDefault="00BA0EB9" w:rsidP="00BA0EB9">
      <w:pPr>
        <w:ind w:left="140" w:hangingChars="71" w:hanging="140"/>
        <w:rPr>
          <w:rFonts w:ascii="ＭＳ 明朝" w:hAnsi="ＭＳ 明朝"/>
          <w:kern w:val="0"/>
          <w:szCs w:val="21"/>
        </w:rPr>
      </w:pPr>
      <w:r w:rsidRPr="006501CB">
        <w:rPr>
          <w:rFonts w:ascii="ＭＳ 明朝" w:hAnsi="ＭＳ 明朝"/>
          <w:kern w:val="0"/>
          <w:szCs w:val="21"/>
        </w:rPr>
        <w:t>2　この契約が解約されたとき、当組合は、管理中のこの契約にかかる投資信託については、お客様の申出により、他の口座管理機関に振替を行います。ただし、振替先口座管理機関において当該投資信託の取扱いをしていない等の理由で振替不能な場合には、遅滞なく当該投資信託を解約し、現金にてお客様に返還します。</w:t>
      </w:r>
    </w:p>
    <w:p w14:paraId="376E57BE" w14:textId="61397127" w:rsidR="006C60B9" w:rsidRDefault="004335CC" w:rsidP="00C9364F">
      <w:pPr>
        <w:ind w:left="198" w:hangingChars="100" w:hanging="198"/>
        <w:rPr>
          <w:rFonts w:ascii="ＭＳ 明朝" w:eastAsiaTheme="minorEastAsia"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5A988DD6" wp14:editId="023A3A1F">
                <wp:simplePos x="0" y="0"/>
                <wp:positionH relativeFrom="margin">
                  <wp:posOffset>2599898</wp:posOffset>
                </wp:positionH>
                <wp:positionV relativeFrom="paragraph">
                  <wp:posOffset>3206588</wp:posOffset>
                </wp:positionV>
                <wp:extent cx="606425" cy="206375"/>
                <wp:effectExtent l="0" t="0" r="3175" b="4445"/>
                <wp:wrapNone/>
                <wp:docPr id="17" name="Text Box 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742499" w14:textId="77777777" w:rsidR="004335CC" w:rsidRPr="008B134A" w:rsidRDefault="004335CC" w:rsidP="004335CC">
                            <w:pPr>
                              <w:jc w:val="center"/>
                              <w:rPr>
                                <w:rFonts w:ascii="ＭＳ 明朝" w:hAnsi="ＭＳ 明朝"/>
                              </w:rPr>
                            </w:pPr>
                            <w:r w:rsidRPr="008B134A">
                              <w:rPr>
                                <w:rFonts w:ascii="ＭＳ 明朝" w:hAnsi="ＭＳ 明朝" w:hint="eastAsia"/>
                              </w:rPr>
                              <w:t>1</w:t>
                            </w:r>
                            <w:r>
                              <w:rPr>
                                <w:rFonts w:ascii="ＭＳ 明朝" w:hAnsi="ＭＳ 明朝" w:hint="eastAsia"/>
                              </w:rPr>
                              <w:t>59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88DD6" id="Text Box 1626" o:spid="_x0000_s1027" type="#_x0000_t202" style="position:absolute;left:0;text-align:left;margin-left:204.7pt;margin-top:252.5pt;width:47.75pt;height:1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" stroked="f">
                <v:textbox inset="5.85pt,.7pt,5.85pt,.7pt">
                  <w:txbxContent>
                    <w:p w14:paraId="2E742499" w14:textId="77777777" w:rsidR="004335CC" w:rsidRPr="008B134A" w:rsidRDefault="004335CC" w:rsidP="004335CC">
                      <w:pPr>
                        <w:jc w:val="center"/>
                        <w:rPr>
                          <w:rFonts w:ascii="ＭＳ 明朝" w:hAnsi="ＭＳ 明朝"/>
                        </w:rPr>
                      </w:pPr>
                      <w:r w:rsidRPr="008B134A">
                        <w:rPr>
                          <w:rFonts w:ascii="ＭＳ 明朝" w:hAnsi="ＭＳ 明朝" w:hint="eastAsia"/>
                        </w:rPr>
                        <w:t>1</w:t>
                      </w:r>
                      <w:r>
                        <w:rPr>
                          <w:rFonts w:ascii="ＭＳ 明朝" w:hAnsi="ＭＳ 明朝" w:hint="eastAsia"/>
                        </w:rPr>
                        <w:t>59</w:t>
                      </w:r>
                    </w:p>
                  </w:txbxContent>
                </v:textbox>
                <w10:wrap anchorx="margin"/>
              </v:shape>
            </w:pict>
          </mc:Fallback>
        </mc:AlternateContent>
      </w:r>
      <w:r w:rsidR="00A510A7">
        <w:rPr>
          <w:rFonts w:ascii="ＭＳ 明朝" w:hAnsi="ＭＳ 明朝" w:hint="eastAsia"/>
          <w:noProof/>
          <w:szCs w:val="21"/>
        </w:rPr>
        <mc:AlternateContent>
          <mc:Choice Requires="wps">
            <w:drawing>
              <wp:anchor distT="0" distB="0" distL="114300" distR="114300" simplePos="0" relativeHeight="251654144" behindDoc="0" locked="0" layoutInCell="1" allowOverlap="1" wp14:anchorId="0E5FCA06" wp14:editId="3EC20A93">
                <wp:simplePos x="0" y="0"/>
                <wp:positionH relativeFrom="column">
                  <wp:posOffset>2668270</wp:posOffset>
                </wp:positionH>
                <wp:positionV relativeFrom="paragraph">
                  <wp:posOffset>8023225</wp:posOffset>
                </wp:positionV>
                <wp:extent cx="606425" cy="206375"/>
                <wp:effectExtent l="1270" t="3175" r="1905" b="0"/>
                <wp:wrapNone/>
                <wp:docPr id="18" name="Text Box 1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A59693" w14:textId="77777777" w:rsidR="00A510A7" w:rsidRPr="008B134A" w:rsidRDefault="00A510A7" w:rsidP="00A510A7">
                            <w:pPr>
                              <w:rPr>
                                <w:rFonts w:ascii="ＭＳ 明朝" w:hAnsi="ＭＳ 明朝"/>
                              </w:rPr>
                            </w:pPr>
                            <w:r w:rsidRPr="008B134A">
                              <w:rPr>
                                <w:rFonts w:ascii="ＭＳ 明朝" w:hAnsi="ＭＳ 明朝" w:hint="eastAsia"/>
                              </w:rPr>
                              <w:t>159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CA06" id="Text Box 1624" o:spid="_x0000_s1028" type="#_x0000_t202" style="position:absolute;left:0;text-align:left;margin-left:210.1pt;margin-top:631.75pt;width:47.75pt;height:1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" stroked="f">
                <v:textbox inset="5.85pt,.7pt,5.85pt,.7pt">
                  <w:txbxContent>
                    <w:p w14:paraId="08A59693" w14:textId="77777777" w:rsidR="00A510A7" w:rsidRPr="008B134A" w:rsidRDefault="00A510A7" w:rsidP="00A510A7">
                      <w:pPr>
                        <w:rPr>
                          <w:rFonts w:ascii="ＭＳ 明朝" w:hAnsi="ＭＳ 明朝"/>
                        </w:rPr>
                      </w:pPr>
                      <w:r w:rsidRPr="008B134A">
                        <w:rPr>
                          <w:rFonts w:ascii="ＭＳ 明朝" w:hAnsi="ＭＳ 明朝" w:hint="eastAsia"/>
                        </w:rPr>
                        <w:t>159</w:t>
                      </w:r>
                    </w:p>
                  </w:txbxContent>
                </v:textbox>
              </v:shape>
            </w:pict>
          </mc:Fallback>
        </mc:AlternateContent>
      </w:r>
    </w:p>
    <w:p w14:paraId="01403D9A" w14:textId="74EA5302" w:rsidR="00C9364F" w:rsidRDefault="00C9364F" w:rsidP="00C9364F">
      <w:pPr>
        <w:pStyle w:val="ab"/>
      </w:pPr>
      <w:r>
        <w:rPr>
          <w:rFonts w:hint="eastAsia"/>
        </w:rPr>
        <w:t>以　上</w:t>
      </w:r>
    </w:p>
    <w:p w14:paraId="5E05C870" w14:textId="77777777" w:rsidR="00C9364F" w:rsidRDefault="00C9364F" w:rsidP="00C9364F">
      <w:pPr>
        <w:ind w:left="198" w:hangingChars="100" w:hanging="198"/>
        <w:jc w:val="left"/>
        <w:rPr>
          <w:rFonts w:ascii="ＭＳ 明朝" w:eastAsiaTheme="minorEastAsia" w:hAnsi="ＭＳ 明朝"/>
          <w:szCs w:val="21"/>
        </w:rPr>
      </w:pPr>
    </w:p>
    <w:p w14:paraId="7A92D513" w14:textId="529F7367" w:rsidR="00C9364F" w:rsidRPr="00DF32DD" w:rsidRDefault="00A77DAD" w:rsidP="00C9364F">
      <w:pPr>
        <w:ind w:left="198" w:hangingChars="100" w:hanging="198"/>
        <w:jc w:val="left"/>
        <w:rPr>
          <w:rFonts w:ascii="ＭＳ 明朝" w:eastAsiaTheme="minorEastAsia" w:hAnsi="ＭＳ 明朝"/>
          <w:szCs w:val="21"/>
        </w:rPr>
      </w:pPr>
      <w:r>
        <w:rPr>
          <w:rFonts w:ascii="ＭＳ 明朝" w:eastAsiaTheme="minorEastAsia" w:hAnsi="ＭＳ 明朝" w:hint="eastAsia"/>
          <w:szCs w:val="21"/>
        </w:rPr>
        <w:t>2026年4月13日</w:t>
      </w:r>
    </w:p>
    <w:sectPr w:rsidR="00C9364F" w:rsidRPr="00DF32DD" w:rsidSect="00D911C2">
      <w:footerReference w:type="default" r:id="rId7"/>
      <w:pgSz w:w="11906" w:h="16838" w:code="9"/>
      <w:pgMar w:top="1701" w:right="1134"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A807" w14:textId="77777777" w:rsidR="008876C9" w:rsidRDefault="008876C9">
      <w:r>
        <w:separator/>
      </w:r>
    </w:p>
  </w:endnote>
  <w:endnote w:type="continuationSeparator" w:id="0">
    <w:p w14:paraId="5EC2ECED" w14:textId="77777777" w:rsidR="008876C9" w:rsidRDefault="0088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81186"/>
      <w:docPartObj>
        <w:docPartGallery w:val="Page Numbers (Bottom of Page)"/>
        <w:docPartUnique/>
      </w:docPartObj>
    </w:sdtPr>
    <w:sdtEndPr/>
    <w:sdtContent>
      <w:p w14:paraId="4AAB92E5" w14:textId="37CCC627" w:rsidR="00C9364F" w:rsidRDefault="00C9364F">
        <w:pPr>
          <w:pStyle w:val="a4"/>
          <w:jc w:val="center"/>
        </w:pPr>
        <w:r>
          <w:fldChar w:fldCharType="begin"/>
        </w:r>
        <w:r>
          <w:instrText>PAGE   \* MERGEFORMAT</w:instrText>
        </w:r>
        <w:r>
          <w:fldChar w:fldCharType="separate"/>
        </w:r>
        <w:r>
          <w:rPr>
            <w:lang w:val="ja-JP"/>
          </w:rPr>
          <w:t>2</w:t>
        </w:r>
        <w:r>
          <w:fldChar w:fldCharType="end"/>
        </w:r>
      </w:p>
    </w:sdtContent>
  </w:sdt>
  <w:p w14:paraId="53E966AD" w14:textId="77777777" w:rsidR="001A4BFF" w:rsidRPr="00B258F0" w:rsidRDefault="001A4BF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E499" w14:textId="77777777" w:rsidR="008876C9" w:rsidRDefault="008876C9">
      <w:r>
        <w:separator/>
      </w:r>
    </w:p>
  </w:footnote>
  <w:footnote w:type="continuationSeparator" w:id="0">
    <w:p w14:paraId="0E2EA4F9" w14:textId="77777777" w:rsidR="008876C9" w:rsidRDefault="00887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5"/>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2359B"/>
    <w:rsid w:val="00032617"/>
    <w:rsid w:val="00052706"/>
    <w:rsid w:val="00063BDE"/>
    <w:rsid w:val="00080A6C"/>
    <w:rsid w:val="000A07A0"/>
    <w:rsid w:val="000A339E"/>
    <w:rsid w:val="000A4310"/>
    <w:rsid w:val="000C2106"/>
    <w:rsid w:val="000E4878"/>
    <w:rsid w:val="000F1AA2"/>
    <w:rsid w:val="000F513C"/>
    <w:rsid w:val="0010386A"/>
    <w:rsid w:val="00113657"/>
    <w:rsid w:val="001249D5"/>
    <w:rsid w:val="0012514A"/>
    <w:rsid w:val="00131619"/>
    <w:rsid w:val="0015257E"/>
    <w:rsid w:val="001635BA"/>
    <w:rsid w:val="001649A1"/>
    <w:rsid w:val="001744C8"/>
    <w:rsid w:val="00180BE4"/>
    <w:rsid w:val="001857FC"/>
    <w:rsid w:val="001875CC"/>
    <w:rsid w:val="001906F6"/>
    <w:rsid w:val="0019782C"/>
    <w:rsid w:val="001A4BFF"/>
    <w:rsid w:val="001B1CE2"/>
    <w:rsid w:val="001B2202"/>
    <w:rsid w:val="001B7B59"/>
    <w:rsid w:val="001C3D8C"/>
    <w:rsid w:val="001D2667"/>
    <w:rsid w:val="001E556F"/>
    <w:rsid w:val="001E69F8"/>
    <w:rsid w:val="001E7495"/>
    <w:rsid w:val="001F58A0"/>
    <w:rsid w:val="00204E8B"/>
    <w:rsid w:val="00206882"/>
    <w:rsid w:val="00206A04"/>
    <w:rsid w:val="00207A4C"/>
    <w:rsid w:val="00211A7D"/>
    <w:rsid w:val="00211FB9"/>
    <w:rsid w:val="00213E5A"/>
    <w:rsid w:val="00222040"/>
    <w:rsid w:val="0023580E"/>
    <w:rsid w:val="00242B73"/>
    <w:rsid w:val="00257344"/>
    <w:rsid w:val="00290ED5"/>
    <w:rsid w:val="002961AE"/>
    <w:rsid w:val="002A7EA1"/>
    <w:rsid w:val="002B2C3F"/>
    <w:rsid w:val="002C5665"/>
    <w:rsid w:val="002C7372"/>
    <w:rsid w:val="002D165E"/>
    <w:rsid w:val="002E0C57"/>
    <w:rsid w:val="002E67D7"/>
    <w:rsid w:val="002F7D7D"/>
    <w:rsid w:val="003032AC"/>
    <w:rsid w:val="0030427B"/>
    <w:rsid w:val="003138FF"/>
    <w:rsid w:val="00325983"/>
    <w:rsid w:val="00342BBE"/>
    <w:rsid w:val="00343222"/>
    <w:rsid w:val="00343B41"/>
    <w:rsid w:val="003753A3"/>
    <w:rsid w:val="00375857"/>
    <w:rsid w:val="00382AE4"/>
    <w:rsid w:val="003A6E1E"/>
    <w:rsid w:val="003E4ABD"/>
    <w:rsid w:val="003F131A"/>
    <w:rsid w:val="004066C2"/>
    <w:rsid w:val="0040688B"/>
    <w:rsid w:val="00412672"/>
    <w:rsid w:val="0041677D"/>
    <w:rsid w:val="00422AB2"/>
    <w:rsid w:val="00422C6D"/>
    <w:rsid w:val="004271B3"/>
    <w:rsid w:val="00427AB1"/>
    <w:rsid w:val="004335CC"/>
    <w:rsid w:val="0044133D"/>
    <w:rsid w:val="00456D59"/>
    <w:rsid w:val="004605D7"/>
    <w:rsid w:val="00474EA7"/>
    <w:rsid w:val="00483AF7"/>
    <w:rsid w:val="00496906"/>
    <w:rsid w:val="004C2402"/>
    <w:rsid w:val="004C7718"/>
    <w:rsid w:val="004E2B6C"/>
    <w:rsid w:val="004E7828"/>
    <w:rsid w:val="004F3559"/>
    <w:rsid w:val="00516882"/>
    <w:rsid w:val="00521373"/>
    <w:rsid w:val="00542611"/>
    <w:rsid w:val="00557A06"/>
    <w:rsid w:val="00562295"/>
    <w:rsid w:val="005708D7"/>
    <w:rsid w:val="005B5892"/>
    <w:rsid w:val="005C69DA"/>
    <w:rsid w:val="00606BB1"/>
    <w:rsid w:val="006216C7"/>
    <w:rsid w:val="006321AE"/>
    <w:rsid w:val="006444BF"/>
    <w:rsid w:val="00660109"/>
    <w:rsid w:val="00662792"/>
    <w:rsid w:val="00670FBC"/>
    <w:rsid w:val="00671FC1"/>
    <w:rsid w:val="00672BB5"/>
    <w:rsid w:val="00684748"/>
    <w:rsid w:val="00686869"/>
    <w:rsid w:val="006A3E18"/>
    <w:rsid w:val="006B2ADC"/>
    <w:rsid w:val="006B4C8E"/>
    <w:rsid w:val="006C60B9"/>
    <w:rsid w:val="006C757B"/>
    <w:rsid w:val="006D45CC"/>
    <w:rsid w:val="00714B44"/>
    <w:rsid w:val="007157AE"/>
    <w:rsid w:val="00743E22"/>
    <w:rsid w:val="007972D3"/>
    <w:rsid w:val="007A178C"/>
    <w:rsid w:val="007A7E83"/>
    <w:rsid w:val="007C168D"/>
    <w:rsid w:val="007C63D3"/>
    <w:rsid w:val="007E2D68"/>
    <w:rsid w:val="00800D0B"/>
    <w:rsid w:val="00810A07"/>
    <w:rsid w:val="00816FD9"/>
    <w:rsid w:val="00823DEE"/>
    <w:rsid w:val="0082532A"/>
    <w:rsid w:val="00831341"/>
    <w:rsid w:val="0084134D"/>
    <w:rsid w:val="00844752"/>
    <w:rsid w:val="00855AA5"/>
    <w:rsid w:val="008876C9"/>
    <w:rsid w:val="008B10CD"/>
    <w:rsid w:val="008B134A"/>
    <w:rsid w:val="008B773D"/>
    <w:rsid w:val="008B7B02"/>
    <w:rsid w:val="008D555E"/>
    <w:rsid w:val="008D784F"/>
    <w:rsid w:val="00903E71"/>
    <w:rsid w:val="009070F7"/>
    <w:rsid w:val="009121D3"/>
    <w:rsid w:val="00940A86"/>
    <w:rsid w:val="00946478"/>
    <w:rsid w:val="00957E5C"/>
    <w:rsid w:val="009849F7"/>
    <w:rsid w:val="00997B76"/>
    <w:rsid w:val="009A1BAD"/>
    <w:rsid w:val="009B0825"/>
    <w:rsid w:val="009C75B1"/>
    <w:rsid w:val="009E6021"/>
    <w:rsid w:val="009F78F4"/>
    <w:rsid w:val="00A003FA"/>
    <w:rsid w:val="00A02BFF"/>
    <w:rsid w:val="00A114AF"/>
    <w:rsid w:val="00A137E3"/>
    <w:rsid w:val="00A15A68"/>
    <w:rsid w:val="00A25CA3"/>
    <w:rsid w:val="00A32D06"/>
    <w:rsid w:val="00A41B44"/>
    <w:rsid w:val="00A510A7"/>
    <w:rsid w:val="00A77DAD"/>
    <w:rsid w:val="00AC08FF"/>
    <w:rsid w:val="00AD2AAE"/>
    <w:rsid w:val="00AE2A33"/>
    <w:rsid w:val="00AF0551"/>
    <w:rsid w:val="00B104AD"/>
    <w:rsid w:val="00B23146"/>
    <w:rsid w:val="00B34ED8"/>
    <w:rsid w:val="00B36415"/>
    <w:rsid w:val="00B66456"/>
    <w:rsid w:val="00BA0EB9"/>
    <w:rsid w:val="00BA67C0"/>
    <w:rsid w:val="00BB37A3"/>
    <w:rsid w:val="00BB5E98"/>
    <w:rsid w:val="00BD42F0"/>
    <w:rsid w:val="00C016FD"/>
    <w:rsid w:val="00C05F97"/>
    <w:rsid w:val="00C33C3D"/>
    <w:rsid w:val="00C40486"/>
    <w:rsid w:val="00C4068D"/>
    <w:rsid w:val="00C646BC"/>
    <w:rsid w:val="00C66F9B"/>
    <w:rsid w:val="00C735F0"/>
    <w:rsid w:val="00C9364F"/>
    <w:rsid w:val="00CC24A9"/>
    <w:rsid w:val="00CD2D77"/>
    <w:rsid w:val="00CE6715"/>
    <w:rsid w:val="00D11909"/>
    <w:rsid w:val="00D13C3D"/>
    <w:rsid w:val="00D23AF2"/>
    <w:rsid w:val="00D8149D"/>
    <w:rsid w:val="00D81E64"/>
    <w:rsid w:val="00D911C2"/>
    <w:rsid w:val="00D9245F"/>
    <w:rsid w:val="00DA262C"/>
    <w:rsid w:val="00DC0E71"/>
    <w:rsid w:val="00DD21AE"/>
    <w:rsid w:val="00DE41FF"/>
    <w:rsid w:val="00DF32DD"/>
    <w:rsid w:val="00DF3CE8"/>
    <w:rsid w:val="00E361AD"/>
    <w:rsid w:val="00E40A2C"/>
    <w:rsid w:val="00E61C20"/>
    <w:rsid w:val="00E72745"/>
    <w:rsid w:val="00E730E7"/>
    <w:rsid w:val="00EC08A5"/>
    <w:rsid w:val="00ED1864"/>
    <w:rsid w:val="00ED3726"/>
    <w:rsid w:val="00F037C6"/>
    <w:rsid w:val="00F50E34"/>
    <w:rsid w:val="00F6288A"/>
    <w:rsid w:val="00F671FC"/>
    <w:rsid w:val="00F77E30"/>
    <w:rsid w:val="00F9130B"/>
    <w:rsid w:val="00FA7140"/>
    <w:rsid w:val="00FB2F91"/>
    <w:rsid w:val="00FB3136"/>
    <w:rsid w:val="00FB3839"/>
    <w:rsid w:val="00FB632E"/>
    <w:rsid w:val="00FE09DC"/>
    <w:rsid w:val="00FF0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20C661A3"/>
  <w15:docId w15:val="{5A34792E-4628-4186-878B-8282B619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annotation text"/>
    <w:basedOn w:val="a"/>
    <w:link w:val="af1"/>
    <w:unhideWhenUsed/>
    <w:rsid w:val="00A02BFF"/>
    <w:pPr>
      <w:jc w:val="left"/>
    </w:pPr>
    <w:rPr>
      <w:rFonts w:ascii="ＭＳ 明朝"/>
    </w:rPr>
  </w:style>
  <w:style w:type="character" w:customStyle="1" w:styleId="af1">
    <w:name w:val="コメント文字列 (文字)"/>
    <w:link w:val="af0"/>
    <w:rsid w:val="00A02BFF"/>
    <w:rPr>
      <w:rFonts w:ascii="ＭＳ 明朝"/>
      <w:kern w:val="2"/>
      <w:sz w:val="21"/>
      <w:szCs w:val="24"/>
    </w:rPr>
  </w:style>
  <w:style w:type="character" w:styleId="af2">
    <w:name w:val="annotation reference"/>
    <w:unhideWhenUsed/>
    <w:rsid w:val="00A02BFF"/>
    <w:rPr>
      <w:sz w:val="18"/>
      <w:szCs w:val="18"/>
    </w:rPr>
  </w:style>
  <w:style w:type="paragraph" w:styleId="af3">
    <w:name w:val="Revision"/>
    <w:hidden/>
    <w:uiPriority w:val="99"/>
    <w:semiHidden/>
    <w:rsid w:val="00125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CFA8-E9AC-4597-BAFE-4A1D85F5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608</Words>
  <Characters>3472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69</cp:revision>
  <cp:lastPrinted>2025-08-13T04:52:00Z</cp:lastPrinted>
  <dcterms:created xsi:type="dcterms:W3CDTF">2019-02-04T05:27:00Z</dcterms:created>
  <dcterms:modified xsi:type="dcterms:W3CDTF">2026-02-17T09:18:00Z</dcterms:modified>
</cp:coreProperties>
</file>